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59" w:rsidRPr="00905759" w:rsidRDefault="00905759" w:rsidP="00905759">
      <w:pPr>
        <w:widowControl/>
        <w:spacing w:line="500" w:lineRule="exact"/>
        <w:jc w:val="left"/>
        <w:rPr>
          <w:rFonts w:ascii="Verdana" w:eastAsia="宋体" w:hAnsi="Verdana" w:cs="宋体"/>
          <w:vanish/>
          <w:kern w:val="0"/>
          <w:sz w:val="24"/>
          <w:szCs w:val="24"/>
        </w:rPr>
      </w:pPr>
    </w:p>
    <w:tbl>
      <w:tblPr>
        <w:tblW w:w="4600" w:type="pct"/>
        <w:jc w:val="center"/>
        <w:tblCellSpacing w:w="0" w:type="dxa"/>
        <w:tblCellMar>
          <w:left w:w="0" w:type="dxa"/>
          <w:right w:w="0" w:type="dxa"/>
        </w:tblCellMar>
        <w:tblLook w:val="04A0"/>
      </w:tblPr>
      <w:tblGrid>
        <w:gridCol w:w="8966"/>
      </w:tblGrid>
      <w:tr w:rsidR="00905759" w:rsidRPr="00905759">
        <w:trPr>
          <w:tblCellSpacing w:w="0" w:type="dxa"/>
          <w:jc w:val="center"/>
        </w:trPr>
        <w:tc>
          <w:tcPr>
            <w:tcW w:w="5000" w:type="pct"/>
            <w:vAlign w:val="center"/>
            <w:hideMark/>
          </w:tcPr>
          <w:p w:rsidR="00905759" w:rsidRPr="00905759" w:rsidRDefault="00905759" w:rsidP="00E518D8">
            <w:pPr>
              <w:widowControl/>
              <w:spacing w:line="500" w:lineRule="exact"/>
              <w:jc w:val="center"/>
              <w:rPr>
                <w:rFonts w:ascii="Verdana" w:eastAsia="宋体" w:hAnsi="Verdana" w:cs="宋体"/>
                <w:kern w:val="0"/>
                <w:sz w:val="24"/>
                <w:szCs w:val="24"/>
              </w:rPr>
            </w:pPr>
            <w:r w:rsidRPr="00905759">
              <w:rPr>
                <w:rFonts w:ascii="仿宋" w:eastAsia="仿宋" w:hAnsi="仿宋" w:cs="宋体" w:hint="eastAsia"/>
                <w:kern w:val="0"/>
                <w:sz w:val="32"/>
                <w:szCs w:val="32"/>
              </w:rPr>
              <w:t>上外办〔2014〕5号</w:t>
            </w:r>
            <w:r w:rsidRPr="00905759">
              <w:rPr>
                <w:rFonts w:ascii="宋体" w:eastAsia="宋体" w:hAnsi="宋体" w:cs="宋体" w:hint="eastAsia"/>
                <w:kern w:val="0"/>
                <w:sz w:val="32"/>
                <w:szCs w:val="32"/>
              </w:rPr>
              <w:t>   </w:t>
            </w:r>
            <w:r>
              <w:rPr>
                <w:rFonts w:ascii="宋体" w:eastAsia="宋体" w:hAnsi="宋体" w:cs="宋体" w:hint="eastAsia"/>
                <w:kern w:val="0"/>
                <w:sz w:val="32"/>
                <w:szCs w:val="32"/>
              </w:rPr>
              <w:t xml:space="preserve">    </w:t>
            </w:r>
            <w:r w:rsidRPr="00905759">
              <w:rPr>
                <w:rFonts w:ascii="仿宋" w:eastAsia="仿宋" w:hAnsi="仿宋" w:cs="宋体" w:hint="eastAsia"/>
                <w:kern w:val="0"/>
                <w:sz w:val="32"/>
                <w:szCs w:val="32"/>
              </w:rPr>
              <w:t>签发人：曹德明</w:t>
            </w:r>
          </w:p>
          <w:p w:rsidR="00905759" w:rsidRPr="00905759" w:rsidRDefault="00905759" w:rsidP="00905759">
            <w:pPr>
              <w:widowControl/>
              <w:spacing w:line="500" w:lineRule="exact"/>
              <w:jc w:val="left"/>
              <w:rPr>
                <w:rFonts w:ascii="Verdana" w:eastAsia="宋体" w:hAnsi="Verdana" w:cs="宋体"/>
                <w:kern w:val="0"/>
                <w:sz w:val="24"/>
                <w:szCs w:val="24"/>
              </w:rPr>
            </w:pPr>
            <w:r w:rsidRPr="00905759">
              <w:rPr>
                <w:rFonts w:ascii="Verdana" w:eastAsia="仿宋_GB2312" w:hAnsi="Verdana" w:cs="Times New Roman"/>
                <w:kern w:val="0"/>
                <w:sz w:val="32"/>
                <w:szCs w:val="32"/>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jc w:val="center"/>
              <w:rPr>
                <w:rFonts w:ascii="Verdana" w:eastAsia="宋体" w:hAnsi="Verdana" w:cs="宋体"/>
                <w:kern w:val="0"/>
                <w:sz w:val="24"/>
                <w:szCs w:val="24"/>
              </w:rPr>
            </w:pPr>
            <w:r w:rsidRPr="00905759">
              <w:rPr>
                <w:rFonts w:ascii="宋体" w:eastAsia="宋体" w:hAnsi="宋体" w:cs="宋体" w:hint="eastAsia"/>
                <w:b/>
                <w:bCs/>
                <w:kern w:val="0"/>
                <w:sz w:val="44"/>
              </w:rPr>
              <w:t>关于发布《上海外国语大学教职工攻读学历学位暂行规定》的通知</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jc w:val="left"/>
              <w:rPr>
                <w:rFonts w:ascii="Verdana" w:eastAsia="宋体" w:hAnsi="Verdana" w:cs="宋体"/>
                <w:kern w:val="0"/>
                <w:sz w:val="24"/>
                <w:szCs w:val="24"/>
              </w:rPr>
            </w:pPr>
            <w:r w:rsidRPr="00905759">
              <w:rPr>
                <w:rFonts w:ascii="华文仿宋" w:eastAsia="华文仿宋" w:hAnsi="华文仿宋" w:cs="宋体" w:hint="eastAsia"/>
                <w:b/>
                <w:bCs/>
                <w:kern w:val="0"/>
                <w:sz w:val="27"/>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jc w:val="left"/>
              <w:rPr>
                <w:rFonts w:ascii="Verdana" w:eastAsia="宋体" w:hAnsi="Verdana" w:cs="宋体"/>
                <w:kern w:val="0"/>
                <w:sz w:val="24"/>
                <w:szCs w:val="24"/>
              </w:rPr>
            </w:pPr>
            <w:r w:rsidRPr="00905759">
              <w:rPr>
                <w:rFonts w:ascii="仿宋" w:eastAsia="仿宋" w:hAnsi="仿宋" w:cs="宋体" w:hint="eastAsia"/>
                <w:kern w:val="0"/>
                <w:sz w:val="32"/>
                <w:szCs w:val="32"/>
              </w:rPr>
              <w:t>各单位：</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640"/>
              <w:jc w:val="left"/>
              <w:rPr>
                <w:rFonts w:ascii="Verdana" w:eastAsia="宋体" w:hAnsi="Verdana" w:cs="宋体"/>
                <w:kern w:val="0"/>
                <w:sz w:val="24"/>
                <w:szCs w:val="24"/>
              </w:rPr>
            </w:pPr>
            <w:r w:rsidRPr="00905759">
              <w:rPr>
                <w:rFonts w:ascii="仿宋" w:eastAsia="仿宋" w:hAnsi="仿宋" w:cs="宋体" w:hint="eastAsia"/>
                <w:kern w:val="0"/>
                <w:sz w:val="32"/>
                <w:szCs w:val="32"/>
              </w:rPr>
              <w:t>为规范和强化我校在职人员攻读学历学位教育管理，进一步优化我校教职工学历层次结构，学校制定了《上海外国语大学教职工攻读学历学位暂行规定》，经校领导同意，先予印发，请按照执行。</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jc w:val="left"/>
              <w:rPr>
                <w:rFonts w:ascii="Verdana" w:eastAsia="宋体" w:hAnsi="Verdana" w:cs="宋体"/>
                <w:kern w:val="0"/>
                <w:sz w:val="24"/>
                <w:szCs w:val="24"/>
              </w:rPr>
            </w:pPr>
            <w:r w:rsidRPr="00905759">
              <w:rPr>
                <w:rFonts w:ascii="宋体" w:eastAsia="宋体" w:hAnsi="宋体" w:cs="宋体" w:hint="eastAsia"/>
                <w:kern w:val="0"/>
                <w:sz w:val="32"/>
                <w:szCs w:val="32"/>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6400"/>
              <w:jc w:val="left"/>
              <w:rPr>
                <w:rFonts w:ascii="Verdana" w:eastAsia="宋体" w:hAnsi="Verdana" w:cs="宋体"/>
                <w:kern w:val="0"/>
                <w:sz w:val="24"/>
                <w:szCs w:val="24"/>
              </w:rPr>
            </w:pPr>
            <w:r w:rsidRPr="00905759">
              <w:rPr>
                <w:rFonts w:ascii="宋体" w:eastAsia="宋体" w:hAnsi="宋体" w:cs="宋体" w:hint="eastAsia"/>
                <w:kern w:val="0"/>
                <w:sz w:val="32"/>
                <w:szCs w:val="32"/>
              </w:rPr>
              <w:t>                    </w:t>
            </w:r>
            <w:r w:rsidRPr="00905759">
              <w:rPr>
                <w:rFonts w:ascii="仿宋" w:eastAsia="仿宋" w:hAnsi="仿宋" w:cs="仿宋" w:hint="eastAsia"/>
                <w:kern w:val="0"/>
                <w:sz w:val="32"/>
                <w:szCs w:val="32"/>
              </w:rPr>
              <w:t xml:space="preserve"> </w:t>
            </w:r>
            <w:r w:rsidRPr="00905759">
              <w:rPr>
                <w:rFonts w:ascii="仿宋" w:eastAsia="仿宋" w:hAnsi="仿宋" w:cs="宋体" w:hint="eastAsia"/>
                <w:kern w:val="0"/>
                <w:sz w:val="32"/>
                <w:szCs w:val="32"/>
              </w:rPr>
              <w:t>校长办公室</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6080"/>
              <w:jc w:val="left"/>
              <w:rPr>
                <w:rFonts w:ascii="Verdana" w:eastAsia="宋体" w:hAnsi="Verdana" w:cs="宋体"/>
                <w:kern w:val="0"/>
                <w:sz w:val="24"/>
                <w:szCs w:val="24"/>
              </w:rPr>
            </w:pPr>
            <w:r w:rsidRPr="00905759">
              <w:rPr>
                <w:rFonts w:ascii="宋体" w:eastAsia="宋体" w:hAnsi="宋体" w:cs="宋体" w:hint="eastAsia"/>
                <w:kern w:val="0"/>
                <w:sz w:val="32"/>
                <w:szCs w:val="32"/>
              </w:rPr>
              <w:t>                      </w:t>
            </w:r>
            <w:r w:rsidRPr="00905759">
              <w:rPr>
                <w:rFonts w:ascii="仿宋" w:eastAsia="仿宋" w:hAnsi="仿宋" w:cs="仿宋" w:hint="eastAsia"/>
                <w:kern w:val="0"/>
                <w:sz w:val="32"/>
                <w:szCs w:val="32"/>
              </w:rPr>
              <w:t>2014</w:t>
            </w:r>
            <w:r w:rsidRPr="00905759">
              <w:rPr>
                <w:rFonts w:ascii="仿宋" w:eastAsia="仿宋" w:hAnsi="仿宋" w:cs="宋体" w:hint="eastAsia"/>
                <w:kern w:val="0"/>
                <w:sz w:val="32"/>
                <w:szCs w:val="32"/>
              </w:rPr>
              <w:t>年4月4日</w:t>
            </w:r>
            <w:r w:rsidRPr="00905759">
              <w:rPr>
                <w:rFonts w:ascii="Verdana" w:eastAsia="宋体" w:hAnsi="Verdana" w:cs="宋体"/>
                <w:kern w:val="0"/>
                <w:sz w:val="24"/>
                <w:szCs w:val="24"/>
              </w:rPr>
              <w:t xml:space="preserve"> </w:t>
            </w:r>
          </w:p>
          <w:p w:rsidR="00905759" w:rsidRDefault="00905759" w:rsidP="00905759">
            <w:pPr>
              <w:widowControl/>
              <w:spacing w:line="500" w:lineRule="exact"/>
              <w:jc w:val="left"/>
              <w:rPr>
                <w:rFonts w:ascii="Verdana" w:eastAsia="宋体" w:hAnsi="Verdana" w:cs="宋体"/>
                <w:kern w:val="0"/>
                <w:sz w:val="24"/>
                <w:szCs w:val="24"/>
              </w:rPr>
            </w:pPr>
            <w:r w:rsidRPr="00905759">
              <w:rPr>
                <w:rFonts w:ascii="华文仿宋" w:eastAsia="华文仿宋" w:hAnsi="华文仿宋" w:cs="宋体" w:hint="eastAsia"/>
                <w:b/>
                <w:bCs/>
                <w:kern w:val="0"/>
                <w:sz w:val="27"/>
              </w:rPr>
              <w:t> </w:t>
            </w:r>
            <w:r w:rsidRPr="00905759">
              <w:rPr>
                <w:rFonts w:ascii="Verdana" w:eastAsia="宋体" w:hAnsi="Verdana" w:cs="宋体"/>
                <w:kern w:val="0"/>
                <w:sz w:val="24"/>
                <w:szCs w:val="24"/>
              </w:rPr>
              <w:t xml:space="preserve"> </w:t>
            </w:r>
          </w:p>
          <w:p w:rsidR="00905759" w:rsidRDefault="00905759" w:rsidP="00905759">
            <w:pPr>
              <w:widowControl/>
              <w:spacing w:line="500" w:lineRule="exact"/>
              <w:jc w:val="left"/>
              <w:rPr>
                <w:rFonts w:ascii="Verdana" w:eastAsia="宋体" w:hAnsi="Verdana" w:cs="宋体"/>
                <w:kern w:val="0"/>
                <w:sz w:val="24"/>
                <w:szCs w:val="24"/>
              </w:rPr>
            </w:pPr>
          </w:p>
          <w:p w:rsidR="00905759" w:rsidRPr="00905759" w:rsidRDefault="00905759" w:rsidP="00905759">
            <w:pPr>
              <w:widowControl/>
              <w:spacing w:line="500" w:lineRule="exact"/>
              <w:jc w:val="center"/>
              <w:rPr>
                <w:rFonts w:ascii="Verdana" w:eastAsia="宋体" w:hAnsi="Verdana" w:cs="宋体"/>
                <w:kern w:val="0"/>
                <w:sz w:val="24"/>
                <w:szCs w:val="24"/>
              </w:rPr>
            </w:pPr>
            <w:r w:rsidRPr="00905759">
              <w:rPr>
                <w:rFonts w:ascii="华文仿宋" w:eastAsia="华文仿宋" w:hAnsi="华文仿宋" w:cs="宋体" w:hint="eastAsia"/>
                <w:b/>
                <w:bCs/>
                <w:kern w:val="0"/>
                <w:sz w:val="32"/>
              </w:rPr>
              <w:t>上海外国语大学教职工攻读学历学位暂行规定</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40"/>
              <w:jc w:val="left"/>
              <w:rPr>
                <w:rFonts w:ascii="Verdana" w:eastAsia="宋体" w:hAnsi="Verdana" w:cs="宋体"/>
                <w:kern w:val="0"/>
                <w:sz w:val="24"/>
                <w:szCs w:val="24"/>
              </w:rPr>
            </w:pPr>
            <w:r w:rsidRPr="00905759">
              <w:rPr>
                <w:rFonts w:ascii="华文仿宋" w:eastAsia="华文仿宋" w:hAnsi="华文仿宋" w:cs="宋体" w:hint="eastAsia"/>
                <w:kern w:val="0"/>
                <w:sz w:val="27"/>
                <w:szCs w:val="27"/>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为规范和强化我校在职人员攻读学历学位教育管理，进一步优化我校教职工学历层次结构，特制定本暂行规定。</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一、适用对象</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我校在职在编人员，按照岗位类别可划分为：专职教学科研岗位人员、辅导员、行政管理岗位人员、教辅岗位人员及工</w:t>
            </w:r>
            <w:proofErr w:type="gramStart"/>
            <w:r w:rsidRPr="00905759">
              <w:rPr>
                <w:rFonts w:ascii="华文仿宋" w:eastAsia="华文仿宋" w:hAnsi="华文仿宋" w:cs="宋体" w:hint="eastAsia"/>
                <w:kern w:val="0"/>
                <w:sz w:val="28"/>
                <w:szCs w:val="28"/>
              </w:rPr>
              <w:t>勤岗位</w:t>
            </w:r>
            <w:proofErr w:type="gramEnd"/>
            <w:r w:rsidRPr="00905759">
              <w:rPr>
                <w:rFonts w:ascii="华文仿宋" w:eastAsia="华文仿宋" w:hAnsi="华文仿宋" w:cs="宋体" w:hint="eastAsia"/>
                <w:kern w:val="0"/>
                <w:sz w:val="28"/>
                <w:szCs w:val="28"/>
              </w:rPr>
              <w:t>人员。</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二、基本原则</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以学科建设和队伍建设需要为前提，有计划进行培养，重点支持专</w:t>
            </w:r>
            <w:r w:rsidRPr="00905759">
              <w:rPr>
                <w:rFonts w:ascii="华文仿宋" w:eastAsia="华文仿宋" w:hAnsi="华文仿宋" w:cs="宋体" w:hint="eastAsia"/>
                <w:kern w:val="0"/>
                <w:sz w:val="28"/>
                <w:szCs w:val="28"/>
              </w:rPr>
              <w:lastRenderedPageBreak/>
              <w:t>职教学科研岗位人员在职攻读博士学位。各部门须根据本部门岗位设置和实际工作需要，制定本部门教职工在职攻读学历学位的培养计划。</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 教职工未经学校批准，自行全脱产攻读学历学位者，视作自动脱离岗位，按学校规定予以解聘或除名，未满服</w:t>
            </w:r>
            <w:proofErr w:type="gramStart"/>
            <w:r w:rsidRPr="00905759">
              <w:rPr>
                <w:rFonts w:ascii="华文仿宋" w:eastAsia="华文仿宋" w:hAnsi="华文仿宋" w:cs="宋体" w:hint="eastAsia"/>
                <w:kern w:val="0"/>
                <w:sz w:val="28"/>
                <w:szCs w:val="28"/>
              </w:rPr>
              <w:t>务期的</w:t>
            </w:r>
            <w:proofErr w:type="gramEnd"/>
            <w:r w:rsidRPr="00905759">
              <w:rPr>
                <w:rFonts w:ascii="华文仿宋" w:eastAsia="华文仿宋" w:hAnsi="华文仿宋" w:cs="宋体" w:hint="eastAsia"/>
                <w:kern w:val="0"/>
                <w:sz w:val="28"/>
                <w:szCs w:val="28"/>
              </w:rPr>
              <w:t>按聘用合同的相关规定处理。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3.根据岗位需要，经学校批准同意攻读学历学位的，在取得学历学位后，学校根据相关规定予以报销学费。</w:t>
            </w:r>
            <w:proofErr w:type="gramStart"/>
            <w:r w:rsidRPr="00905759">
              <w:rPr>
                <w:rFonts w:ascii="华文仿宋" w:eastAsia="华文仿宋" w:hAnsi="华文仿宋" w:cs="宋体" w:hint="eastAsia"/>
                <w:kern w:val="0"/>
                <w:sz w:val="28"/>
                <w:szCs w:val="28"/>
              </w:rPr>
              <w:t>非岗位</w:t>
            </w:r>
            <w:proofErr w:type="gramEnd"/>
            <w:r w:rsidRPr="00905759">
              <w:rPr>
                <w:rFonts w:ascii="华文仿宋" w:eastAsia="华文仿宋" w:hAnsi="华文仿宋" w:cs="宋体" w:hint="eastAsia"/>
                <w:kern w:val="0"/>
                <w:sz w:val="28"/>
                <w:szCs w:val="28"/>
              </w:rPr>
              <w:t>必需而由于个人需要攻读学历学位的，学费自理。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三、申报条件</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非专职教学科研岗位申报人员原则上须在校工作满三年及以上方可提出报考申请。</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 符合国家关于报考相关学历学位教育的文件规定。</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 申报人应具有良好的职业道德和业务基础，工作认真负责，年度考核合格及以上，能较好履行本岗位职责。</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四、申请及审批程序</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教职工报考在职攻读学历学位教育，首先由本人向所在院系部门提出书面申请，各院系部门根据实际需要，每年3-4月向人事处提交本部门教职工的年度培养计划，人事处将根据申报情况，下达培养指标。</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 纳入学校教职工培养计划的申请人，须在人事处网页下载《上海外国语大学教职工在职攻读学历学位审批表》，并按照各自岗位类别和所报考的学历学位种类，如实填写并报所在院系部门审核。</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 院系部门签署审核意见后向人事处相应科室递交审批表及其他相关材料。</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五、管理措施</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在规定的学习期限内，经批准在职攻读学历学位的教职工，须做好本职工作，认真履行岗位职责，承担学校分配的教学、科研、管理及工勤任务，参加学校及本部门组织的政治、业务学习活动。</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lastRenderedPageBreak/>
              <w:t>2. 经批准在职攻读博士或硕士学位的专职教学科研岗位人员在规定学习期限的第一学年原则上可减免1/3教学工作量。其他岗位人员学习时间原则上每周不超过两个半天。</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 在职攻读学历学位的教职工在学习期间不得随意变更学习专业和学习院校。</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4. 在职攻读学历学位的教职工，须在录取协议书签订的同时凭录取通知书到人事处相应科室签订服务期合同。</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5. 学习结束后，本人凭毕业证书，学历学位证书等复印件（验原件）到学校人事处相应科室办理登记手续，人事处将有关证明材料存入人事档案并落实相关待遇。</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六、经费管理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经学校批准同意以在职定向攻读学位的，其学费采取以学校资助为主与本人部分自理相结合的办法解决。</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（1）在职攻读博士学位所需学费中，学校资助最高额度不超过4万元，且资助比例不超过80%。</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（2）在职攻读硕士学位所需学费中，学校资助最高额度不超过3万元，且资助比例不超过70%。</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（3）在职攻读大学本科所需学费中，学校资助最高额度不超过1万元，且资助比例不超过50%。</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2.未经学校同意，擅自报考或所攻读学历、学位与本人岗位需求不相符合的，学费全部自理。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 在读期间因个人原因延长学制、考试或答辩未通过，需按就读学校的管理规程、条例重修或补考（答辩）的，所发生的一切费用全部自理。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4. 学习结束后，本人凭毕业证书或学位证书到人事处相关科室办理学费中学校资助部分的报销手续。</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5. 教职工攻读学位后，因个人原因提出调动或解聘辞职而致使服务年限未满者，须向学校赔偿相应的学费。赔偿金额按以下方法计算：</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lastRenderedPageBreak/>
              <w:t>赔偿金额＝资助学费－资助学费÷应服务期限×已服务期限</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七、其他</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1. 本暂行规定自批准之日起实行。</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2. 凡此前所发文件与本暂行规定不相一致的，以本规定为准。</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60"/>
              <w:jc w:val="left"/>
              <w:rPr>
                <w:rFonts w:ascii="Verdana" w:eastAsia="宋体" w:hAnsi="Verdana" w:cs="宋体"/>
                <w:kern w:val="0"/>
                <w:sz w:val="24"/>
                <w:szCs w:val="24"/>
              </w:rPr>
            </w:pPr>
            <w:r w:rsidRPr="00905759">
              <w:rPr>
                <w:rFonts w:ascii="华文仿宋" w:eastAsia="华文仿宋" w:hAnsi="华文仿宋" w:cs="宋体" w:hint="eastAsia"/>
                <w:kern w:val="0"/>
                <w:sz w:val="28"/>
                <w:szCs w:val="28"/>
              </w:rPr>
              <w:t>3. 本暂行规定由学校授权人事处负责解释。</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ind w:firstLine="540"/>
              <w:jc w:val="left"/>
              <w:rPr>
                <w:rFonts w:ascii="Verdana" w:eastAsia="宋体" w:hAnsi="Verdana" w:cs="宋体"/>
                <w:kern w:val="0"/>
                <w:sz w:val="24"/>
                <w:szCs w:val="24"/>
              </w:rPr>
            </w:pPr>
            <w:r w:rsidRPr="00905759">
              <w:rPr>
                <w:rFonts w:ascii="华文仿宋" w:eastAsia="华文仿宋" w:hAnsi="华文仿宋" w:cs="宋体" w:hint="eastAsia"/>
                <w:kern w:val="0"/>
                <w:sz w:val="27"/>
                <w:szCs w:val="27"/>
              </w:rPr>
              <w:t> </w:t>
            </w:r>
            <w:r w:rsidRPr="00905759">
              <w:rPr>
                <w:rFonts w:ascii="Verdana" w:eastAsia="宋体" w:hAnsi="Verdana" w:cs="宋体"/>
                <w:kern w:val="0"/>
                <w:sz w:val="24"/>
                <w:szCs w:val="24"/>
              </w:rPr>
              <w:t xml:space="preserve"> </w:t>
            </w:r>
          </w:p>
          <w:p w:rsidR="00905759" w:rsidRPr="00905759" w:rsidRDefault="00905759" w:rsidP="00905759">
            <w:pPr>
              <w:widowControl/>
              <w:spacing w:line="500" w:lineRule="exact"/>
              <w:jc w:val="left"/>
              <w:rPr>
                <w:rFonts w:ascii="仿宋" w:eastAsia="仿宋" w:hAnsi="仿宋" w:cs="宋体"/>
                <w:kern w:val="0"/>
                <w:sz w:val="32"/>
                <w:szCs w:val="32"/>
              </w:rPr>
            </w:pPr>
            <w:r>
              <w:rPr>
                <w:rFonts w:ascii="仿宋" w:eastAsia="仿宋" w:hAnsi="仿宋" w:cs="宋体" w:hint="eastAsia"/>
                <w:kern w:val="0"/>
                <w:sz w:val="32"/>
                <w:szCs w:val="32"/>
              </w:rPr>
              <w:t>上海外国语大学校长办公</w:t>
            </w:r>
            <w:r w:rsidRPr="00905759">
              <w:rPr>
                <w:rFonts w:ascii="仿宋" w:eastAsia="仿宋" w:hAnsi="仿宋" w:cs="宋体" w:hint="eastAsia"/>
                <w:kern w:val="0"/>
                <w:sz w:val="32"/>
                <w:szCs w:val="32"/>
              </w:rPr>
              <w:t>室</w:t>
            </w:r>
            <w:r>
              <w:rPr>
                <w:rFonts w:ascii="仿宋" w:eastAsia="仿宋" w:hAnsi="仿宋" w:cs="宋体" w:hint="eastAsia"/>
                <w:kern w:val="0"/>
                <w:sz w:val="32"/>
                <w:szCs w:val="32"/>
              </w:rPr>
              <w:t xml:space="preserve">     </w:t>
            </w:r>
            <w:r w:rsidRPr="00905759">
              <w:rPr>
                <w:rFonts w:ascii="仿宋" w:eastAsia="仿宋" w:hAnsi="仿宋" w:cs="仿宋" w:hint="eastAsia"/>
                <w:kern w:val="0"/>
                <w:sz w:val="32"/>
                <w:szCs w:val="32"/>
              </w:rPr>
              <w:t>2014</w:t>
            </w:r>
            <w:r w:rsidRPr="00905759">
              <w:rPr>
                <w:rFonts w:ascii="仿宋" w:eastAsia="仿宋" w:hAnsi="仿宋" w:cs="宋体" w:hint="eastAsia"/>
                <w:kern w:val="0"/>
                <w:sz w:val="32"/>
                <w:szCs w:val="32"/>
              </w:rPr>
              <w:t>年4月15日印发</w:t>
            </w:r>
            <w:r w:rsidRPr="00905759">
              <w:rPr>
                <w:rFonts w:ascii="Verdana" w:eastAsia="宋体" w:hAnsi="Verdana" w:cs="宋体"/>
                <w:kern w:val="0"/>
                <w:sz w:val="24"/>
                <w:szCs w:val="24"/>
              </w:rPr>
              <w:t xml:space="preserve"> </w:t>
            </w:r>
          </w:p>
        </w:tc>
      </w:tr>
    </w:tbl>
    <w:p w:rsidR="00C803F2" w:rsidRPr="00905759" w:rsidRDefault="00C803F2" w:rsidP="00905759">
      <w:pPr>
        <w:spacing w:line="500" w:lineRule="exact"/>
      </w:pPr>
    </w:p>
    <w:sectPr w:rsidR="00C803F2" w:rsidRPr="00905759" w:rsidSect="0090575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D3" w:rsidRDefault="007313D3" w:rsidP="00E518D8">
      <w:r>
        <w:separator/>
      </w:r>
    </w:p>
  </w:endnote>
  <w:endnote w:type="continuationSeparator" w:id="0">
    <w:p w:rsidR="007313D3" w:rsidRDefault="007313D3" w:rsidP="00E51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D3" w:rsidRDefault="007313D3" w:rsidP="00E518D8">
      <w:r>
        <w:separator/>
      </w:r>
    </w:p>
  </w:footnote>
  <w:footnote w:type="continuationSeparator" w:id="0">
    <w:p w:rsidR="007313D3" w:rsidRDefault="007313D3" w:rsidP="00E51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759"/>
    <w:rsid w:val="00001AF8"/>
    <w:rsid w:val="00020150"/>
    <w:rsid w:val="00021EC8"/>
    <w:rsid w:val="00034354"/>
    <w:rsid w:val="00086298"/>
    <w:rsid w:val="000A701E"/>
    <w:rsid w:val="000C5C4E"/>
    <w:rsid w:val="001044CA"/>
    <w:rsid w:val="00115AD1"/>
    <w:rsid w:val="00134D56"/>
    <w:rsid w:val="0017107A"/>
    <w:rsid w:val="00190F5E"/>
    <w:rsid w:val="001B33D2"/>
    <w:rsid w:val="001C32F7"/>
    <w:rsid w:val="001D57BE"/>
    <w:rsid w:val="001D6C57"/>
    <w:rsid w:val="001E3A1D"/>
    <w:rsid w:val="001F113F"/>
    <w:rsid w:val="001F2FF4"/>
    <w:rsid w:val="00213B81"/>
    <w:rsid w:val="0024092A"/>
    <w:rsid w:val="00252DBC"/>
    <w:rsid w:val="00282A06"/>
    <w:rsid w:val="00295795"/>
    <w:rsid w:val="002C1F76"/>
    <w:rsid w:val="003006C7"/>
    <w:rsid w:val="00305492"/>
    <w:rsid w:val="003471B6"/>
    <w:rsid w:val="00364706"/>
    <w:rsid w:val="00376F74"/>
    <w:rsid w:val="003F45E2"/>
    <w:rsid w:val="004167B8"/>
    <w:rsid w:val="004274D3"/>
    <w:rsid w:val="00457373"/>
    <w:rsid w:val="00473F88"/>
    <w:rsid w:val="00476CC8"/>
    <w:rsid w:val="004862F8"/>
    <w:rsid w:val="004E3A7F"/>
    <w:rsid w:val="004E4C2E"/>
    <w:rsid w:val="00503FC8"/>
    <w:rsid w:val="005107C3"/>
    <w:rsid w:val="005238BD"/>
    <w:rsid w:val="00526741"/>
    <w:rsid w:val="005369F1"/>
    <w:rsid w:val="00541895"/>
    <w:rsid w:val="00550028"/>
    <w:rsid w:val="005E18D7"/>
    <w:rsid w:val="005E527D"/>
    <w:rsid w:val="00600930"/>
    <w:rsid w:val="006047BE"/>
    <w:rsid w:val="00611680"/>
    <w:rsid w:val="00625AD4"/>
    <w:rsid w:val="0063605F"/>
    <w:rsid w:val="006379A0"/>
    <w:rsid w:val="00697DED"/>
    <w:rsid w:val="006D113D"/>
    <w:rsid w:val="006D7635"/>
    <w:rsid w:val="006F1C4D"/>
    <w:rsid w:val="00723C0F"/>
    <w:rsid w:val="007313D3"/>
    <w:rsid w:val="00740508"/>
    <w:rsid w:val="00752446"/>
    <w:rsid w:val="00757EFE"/>
    <w:rsid w:val="00765E76"/>
    <w:rsid w:val="00793262"/>
    <w:rsid w:val="00796C40"/>
    <w:rsid w:val="007E669F"/>
    <w:rsid w:val="00823DAD"/>
    <w:rsid w:val="008338C0"/>
    <w:rsid w:val="008555D4"/>
    <w:rsid w:val="008A7534"/>
    <w:rsid w:val="008B1C72"/>
    <w:rsid w:val="008B7314"/>
    <w:rsid w:val="009022C1"/>
    <w:rsid w:val="00905759"/>
    <w:rsid w:val="009151AB"/>
    <w:rsid w:val="00916F05"/>
    <w:rsid w:val="00925DFF"/>
    <w:rsid w:val="00935E6B"/>
    <w:rsid w:val="00947749"/>
    <w:rsid w:val="00952DB2"/>
    <w:rsid w:val="00971AED"/>
    <w:rsid w:val="009A04D7"/>
    <w:rsid w:val="009B3ACB"/>
    <w:rsid w:val="009D15B4"/>
    <w:rsid w:val="009D399C"/>
    <w:rsid w:val="009E6FB1"/>
    <w:rsid w:val="009F64AE"/>
    <w:rsid w:val="00A0488A"/>
    <w:rsid w:val="00A14B04"/>
    <w:rsid w:val="00A37C10"/>
    <w:rsid w:val="00A5100E"/>
    <w:rsid w:val="00A67AA9"/>
    <w:rsid w:val="00AE572C"/>
    <w:rsid w:val="00AE6CD7"/>
    <w:rsid w:val="00B11BAF"/>
    <w:rsid w:val="00B17C8D"/>
    <w:rsid w:val="00B23A77"/>
    <w:rsid w:val="00B34F01"/>
    <w:rsid w:val="00B41DC3"/>
    <w:rsid w:val="00B85F02"/>
    <w:rsid w:val="00BA7579"/>
    <w:rsid w:val="00BE6C63"/>
    <w:rsid w:val="00BF728F"/>
    <w:rsid w:val="00C053BD"/>
    <w:rsid w:val="00C755D1"/>
    <w:rsid w:val="00C803F2"/>
    <w:rsid w:val="00C81670"/>
    <w:rsid w:val="00C9380E"/>
    <w:rsid w:val="00CB1F29"/>
    <w:rsid w:val="00CD5C4D"/>
    <w:rsid w:val="00CE09EE"/>
    <w:rsid w:val="00D00F84"/>
    <w:rsid w:val="00D34B45"/>
    <w:rsid w:val="00D44DF2"/>
    <w:rsid w:val="00D7594E"/>
    <w:rsid w:val="00D91415"/>
    <w:rsid w:val="00DA435F"/>
    <w:rsid w:val="00DA581F"/>
    <w:rsid w:val="00DE6018"/>
    <w:rsid w:val="00DE6544"/>
    <w:rsid w:val="00E07E41"/>
    <w:rsid w:val="00E16B80"/>
    <w:rsid w:val="00E2577D"/>
    <w:rsid w:val="00E518D8"/>
    <w:rsid w:val="00EA4B4F"/>
    <w:rsid w:val="00EA5BE6"/>
    <w:rsid w:val="00EB0F1A"/>
    <w:rsid w:val="00EB7019"/>
    <w:rsid w:val="00ED0B2C"/>
    <w:rsid w:val="00EE0F9E"/>
    <w:rsid w:val="00EE5114"/>
    <w:rsid w:val="00F40C3E"/>
    <w:rsid w:val="00F46E6C"/>
    <w:rsid w:val="00F54209"/>
    <w:rsid w:val="00F762E3"/>
    <w:rsid w:val="00FA4541"/>
    <w:rsid w:val="00FA65BF"/>
    <w:rsid w:val="00FF1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905759"/>
    <w:rPr>
      <w:b/>
      <w:bCs/>
    </w:rPr>
  </w:style>
  <w:style w:type="paragraph" w:styleId="a4">
    <w:name w:val="header"/>
    <w:basedOn w:val="a"/>
    <w:link w:val="Char"/>
    <w:uiPriority w:val="99"/>
    <w:semiHidden/>
    <w:unhideWhenUsed/>
    <w:rsid w:val="00E51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18D8"/>
    <w:rPr>
      <w:sz w:val="18"/>
      <w:szCs w:val="18"/>
    </w:rPr>
  </w:style>
  <w:style w:type="paragraph" w:styleId="a5">
    <w:name w:val="footer"/>
    <w:basedOn w:val="a"/>
    <w:link w:val="Char0"/>
    <w:uiPriority w:val="99"/>
    <w:semiHidden/>
    <w:unhideWhenUsed/>
    <w:rsid w:val="00E518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18D8"/>
    <w:rPr>
      <w:sz w:val="18"/>
      <w:szCs w:val="18"/>
    </w:rPr>
  </w:style>
</w:styles>
</file>

<file path=word/webSettings.xml><?xml version="1.0" encoding="utf-8"?>
<w:webSettings xmlns:r="http://schemas.openxmlformats.org/officeDocument/2006/relationships" xmlns:w="http://schemas.openxmlformats.org/wordprocessingml/2006/main">
  <w:divs>
    <w:div w:id="592127662">
      <w:bodyDiv w:val="1"/>
      <w:marLeft w:val="0"/>
      <w:marRight w:val="0"/>
      <w:marTop w:val="0"/>
      <w:marBottom w:val="0"/>
      <w:divBdr>
        <w:top w:val="none" w:sz="0" w:space="0" w:color="auto"/>
        <w:left w:val="none" w:sz="0" w:space="0" w:color="auto"/>
        <w:bottom w:val="none" w:sz="0" w:space="0" w:color="auto"/>
        <w:right w:val="none" w:sz="0" w:space="0" w:color="auto"/>
      </w:divBdr>
      <w:divsChild>
        <w:div w:id="1898737349">
          <w:marLeft w:val="0"/>
          <w:marRight w:val="0"/>
          <w:marTop w:val="0"/>
          <w:marBottom w:val="0"/>
          <w:divBdr>
            <w:top w:val="none" w:sz="0" w:space="0" w:color="auto"/>
            <w:left w:val="none" w:sz="0" w:space="0" w:color="auto"/>
            <w:bottom w:val="none" w:sz="0" w:space="0" w:color="auto"/>
            <w:right w:val="none" w:sz="0" w:space="0" w:color="auto"/>
          </w:divBdr>
          <w:divsChild>
            <w:div w:id="1768890476">
              <w:marLeft w:val="0"/>
              <w:marRight w:val="0"/>
              <w:marTop w:val="0"/>
              <w:marBottom w:val="0"/>
              <w:divBdr>
                <w:top w:val="none" w:sz="0" w:space="0" w:color="auto"/>
                <w:left w:val="none" w:sz="0" w:space="0" w:color="auto"/>
                <w:bottom w:val="none" w:sz="0" w:space="0" w:color="auto"/>
                <w:right w:val="none" w:sz="0" w:space="0" w:color="auto"/>
              </w:divBdr>
              <w:divsChild>
                <w:div w:id="1387803441">
                  <w:marLeft w:val="0"/>
                  <w:marRight w:val="0"/>
                  <w:marTop w:val="0"/>
                  <w:marBottom w:val="0"/>
                  <w:divBdr>
                    <w:top w:val="none" w:sz="0" w:space="0" w:color="auto"/>
                    <w:left w:val="none" w:sz="0" w:space="0" w:color="auto"/>
                    <w:bottom w:val="none" w:sz="0" w:space="0" w:color="auto"/>
                    <w:right w:val="none" w:sz="0" w:space="0" w:color="auto"/>
                  </w:divBdr>
                  <w:divsChild>
                    <w:div w:id="1238519979">
                      <w:marLeft w:val="0"/>
                      <w:marRight w:val="0"/>
                      <w:marTop w:val="0"/>
                      <w:marBottom w:val="0"/>
                      <w:divBdr>
                        <w:top w:val="none" w:sz="0" w:space="0" w:color="auto"/>
                        <w:left w:val="none" w:sz="0" w:space="0" w:color="auto"/>
                        <w:bottom w:val="none" w:sz="0" w:space="0" w:color="auto"/>
                        <w:right w:val="none" w:sz="0" w:space="0" w:color="auto"/>
                      </w:divBdr>
                      <w:divsChild>
                        <w:div w:id="1873347536">
                          <w:marLeft w:val="0"/>
                          <w:marRight w:val="0"/>
                          <w:marTop w:val="0"/>
                          <w:marBottom w:val="0"/>
                          <w:divBdr>
                            <w:top w:val="none" w:sz="0" w:space="0" w:color="auto"/>
                            <w:left w:val="none" w:sz="0" w:space="0" w:color="auto"/>
                            <w:bottom w:val="none" w:sz="0" w:space="0" w:color="auto"/>
                            <w:right w:val="none" w:sz="0" w:space="0" w:color="auto"/>
                          </w:divBdr>
                          <w:divsChild>
                            <w:div w:id="45569593">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陈文江</dc:creator>
  <cp:lastModifiedBy>陈文江</cp:lastModifiedBy>
  <cp:revision>3</cp:revision>
  <dcterms:created xsi:type="dcterms:W3CDTF">2014-10-08T06:45:00Z</dcterms:created>
  <dcterms:modified xsi:type="dcterms:W3CDTF">2017-11-22T02:57:00Z</dcterms:modified>
</cp:coreProperties>
</file>